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759" w:rsidRPr="00782562" w:rsidRDefault="00906759" w:rsidP="00782562">
      <w:pPr>
        <w:spacing w:after="0" w:line="360" w:lineRule="auto"/>
        <w:jc w:val="center"/>
        <w:rPr>
          <w:b/>
          <w:bCs/>
          <w:color w:val="000000"/>
          <w:sz w:val="24"/>
          <w:szCs w:val="24"/>
          <w:lang w:eastAsia="pl-PL"/>
        </w:rPr>
      </w:pPr>
      <w:r>
        <w:rPr>
          <w:rFonts w:ascii="Arial" w:hAnsi="Arial" w:cs="Arial"/>
          <w:b/>
          <w:sz w:val="20"/>
          <w:szCs w:val="20"/>
        </w:rPr>
        <w:t xml:space="preserve"> </w:t>
      </w:r>
      <w:r w:rsidRPr="00782562">
        <w:rPr>
          <w:b/>
          <w:bCs/>
          <w:color w:val="000000"/>
          <w:sz w:val="24"/>
          <w:szCs w:val="24"/>
          <w:lang w:eastAsia="pl-PL"/>
        </w:rPr>
        <w:t xml:space="preserve">Porównanie założeń z projektu budżetu Gminy </w:t>
      </w:r>
      <w:r>
        <w:rPr>
          <w:b/>
          <w:bCs/>
          <w:color w:val="000000"/>
          <w:sz w:val="24"/>
          <w:szCs w:val="24"/>
          <w:lang w:eastAsia="pl-PL"/>
        </w:rPr>
        <w:t>Grzmiąca</w:t>
      </w:r>
      <w:r w:rsidRPr="00782562">
        <w:rPr>
          <w:b/>
          <w:bCs/>
          <w:color w:val="000000"/>
          <w:sz w:val="24"/>
          <w:szCs w:val="24"/>
          <w:lang w:eastAsia="pl-PL"/>
        </w:rPr>
        <w:t xml:space="preserve"> na 2019 rok z zaplanowanymi przedsięwzięciami naprawczymi z programu postępowania naprawczego</w:t>
      </w:r>
    </w:p>
    <w:tbl>
      <w:tblPr>
        <w:tblpPr w:leftFromText="141" w:rightFromText="141" w:vertAnchor="text" w:horzAnchor="margin" w:tblpXSpec="center" w:tblpY="313"/>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9"/>
        <w:gridCol w:w="1151"/>
        <w:gridCol w:w="1151"/>
        <w:gridCol w:w="5014"/>
      </w:tblGrid>
      <w:tr w:rsidR="00906759" w:rsidRPr="00FE46FE" w:rsidTr="00B0797D">
        <w:trPr>
          <w:trHeight w:val="551"/>
        </w:trPr>
        <w:tc>
          <w:tcPr>
            <w:tcW w:w="6259" w:type="dxa"/>
            <w:vAlign w:val="center"/>
          </w:tcPr>
          <w:p w:rsidR="00906759" w:rsidRPr="00FE46FE" w:rsidRDefault="00906759" w:rsidP="00553A83">
            <w:pPr>
              <w:spacing w:after="0"/>
              <w:jc w:val="center"/>
              <w:rPr>
                <w:rFonts w:ascii="Arial" w:hAnsi="Arial" w:cs="Arial"/>
                <w:b/>
                <w:sz w:val="16"/>
                <w:szCs w:val="16"/>
              </w:rPr>
            </w:pPr>
            <w:r>
              <w:rPr>
                <w:rFonts w:ascii="Arial" w:hAnsi="Arial" w:cs="Arial"/>
                <w:b/>
                <w:sz w:val="16"/>
                <w:szCs w:val="16"/>
              </w:rPr>
              <w:t>Nazwa</w:t>
            </w:r>
            <w:r w:rsidRPr="00FE46FE">
              <w:rPr>
                <w:rFonts w:ascii="Arial" w:hAnsi="Arial" w:cs="Arial"/>
                <w:b/>
                <w:sz w:val="16"/>
                <w:szCs w:val="16"/>
              </w:rPr>
              <w:t xml:space="preserve"> działań naprawczych</w:t>
            </w:r>
          </w:p>
        </w:tc>
        <w:tc>
          <w:tcPr>
            <w:tcW w:w="1151" w:type="dxa"/>
            <w:vAlign w:val="center"/>
          </w:tcPr>
          <w:p w:rsidR="00906759" w:rsidRPr="00FE46FE" w:rsidRDefault="00906759" w:rsidP="00553A83">
            <w:pPr>
              <w:spacing w:after="0"/>
              <w:jc w:val="center"/>
              <w:rPr>
                <w:rFonts w:ascii="Arial" w:hAnsi="Arial" w:cs="Arial"/>
                <w:b/>
                <w:sz w:val="16"/>
                <w:szCs w:val="16"/>
              </w:rPr>
            </w:pPr>
            <w:r w:rsidRPr="00FE46FE">
              <w:rPr>
                <w:rFonts w:ascii="Arial" w:hAnsi="Arial" w:cs="Arial"/>
                <w:b/>
                <w:sz w:val="16"/>
                <w:szCs w:val="16"/>
              </w:rPr>
              <w:t>Plan na 201</w:t>
            </w:r>
            <w:r>
              <w:rPr>
                <w:rFonts w:ascii="Arial" w:hAnsi="Arial" w:cs="Arial"/>
                <w:b/>
                <w:sz w:val="16"/>
                <w:szCs w:val="16"/>
              </w:rPr>
              <w:t>9</w:t>
            </w:r>
            <w:r w:rsidRPr="00FE46FE">
              <w:rPr>
                <w:rFonts w:ascii="Arial" w:hAnsi="Arial" w:cs="Arial"/>
                <w:b/>
                <w:sz w:val="16"/>
                <w:szCs w:val="16"/>
              </w:rPr>
              <w:t>r. wg PPN</w:t>
            </w:r>
          </w:p>
        </w:tc>
        <w:tc>
          <w:tcPr>
            <w:tcW w:w="1151" w:type="dxa"/>
          </w:tcPr>
          <w:p w:rsidR="00906759" w:rsidRPr="00FE46FE" w:rsidRDefault="00906759" w:rsidP="00553A83">
            <w:pPr>
              <w:spacing w:after="0"/>
              <w:jc w:val="center"/>
              <w:rPr>
                <w:rFonts w:ascii="Arial" w:hAnsi="Arial" w:cs="Arial"/>
                <w:b/>
                <w:sz w:val="16"/>
                <w:szCs w:val="16"/>
              </w:rPr>
            </w:pPr>
            <w:r w:rsidRPr="00FE46FE">
              <w:rPr>
                <w:rFonts w:ascii="Arial" w:hAnsi="Arial" w:cs="Arial"/>
                <w:b/>
                <w:sz w:val="16"/>
                <w:szCs w:val="16"/>
              </w:rPr>
              <w:t>Plan na 201</w:t>
            </w:r>
            <w:r>
              <w:rPr>
                <w:rFonts w:ascii="Arial" w:hAnsi="Arial" w:cs="Arial"/>
                <w:b/>
                <w:sz w:val="16"/>
                <w:szCs w:val="16"/>
              </w:rPr>
              <w:t>9</w:t>
            </w:r>
            <w:r w:rsidRPr="00FE46FE">
              <w:rPr>
                <w:rFonts w:ascii="Arial" w:hAnsi="Arial" w:cs="Arial"/>
                <w:b/>
                <w:sz w:val="16"/>
                <w:szCs w:val="16"/>
              </w:rPr>
              <w:t xml:space="preserve">r. wg </w:t>
            </w:r>
            <w:r>
              <w:rPr>
                <w:rFonts w:ascii="Arial" w:hAnsi="Arial" w:cs="Arial"/>
                <w:b/>
                <w:sz w:val="16"/>
                <w:szCs w:val="16"/>
              </w:rPr>
              <w:t>projektu</w:t>
            </w:r>
          </w:p>
        </w:tc>
        <w:tc>
          <w:tcPr>
            <w:tcW w:w="5014" w:type="dxa"/>
            <w:vAlign w:val="center"/>
          </w:tcPr>
          <w:p w:rsidR="00906759" w:rsidRPr="00FE46FE" w:rsidRDefault="00906759" w:rsidP="00553A83">
            <w:pPr>
              <w:spacing w:after="0"/>
              <w:jc w:val="center"/>
              <w:rPr>
                <w:rFonts w:ascii="Arial" w:hAnsi="Arial" w:cs="Arial"/>
                <w:b/>
                <w:sz w:val="16"/>
                <w:szCs w:val="16"/>
              </w:rPr>
            </w:pPr>
            <w:r>
              <w:rPr>
                <w:rFonts w:ascii="Arial" w:hAnsi="Arial" w:cs="Arial"/>
                <w:b/>
                <w:sz w:val="16"/>
                <w:szCs w:val="16"/>
              </w:rPr>
              <w:t>Uwagi</w:t>
            </w:r>
          </w:p>
        </w:tc>
      </w:tr>
      <w:tr w:rsidR="00906759" w:rsidRPr="00FE46FE" w:rsidTr="00B0797D">
        <w:trPr>
          <w:trHeight w:val="333"/>
        </w:trPr>
        <w:tc>
          <w:tcPr>
            <w:tcW w:w="6259" w:type="dxa"/>
            <w:vAlign w:val="center"/>
          </w:tcPr>
          <w:p w:rsidR="00906759" w:rsidRPr="00FE46FE" w:rsidRDefault="00906759" w:rsidP="00553A83">
            <w:pPr>
              <w:spacing w:after="0"/>
              <w:rPr>
                <w:rFonts w:ascii="Arial" w:hAnsi="Arial" w:cs="Arial"/>
                <w:sz w:val="16"/>
                <w:szCs w:val="16"/>
              </w:rPr>
            </w:pPr>
            <w:r w:rsidRPr="00FE46FE">
              <w:rPr>
                <w:rFonts w:ascii="Arial" w:hAnsi="Arial" w:cs="Arial"/>
                <w:sz w:val="16"/>
                <w:szCs w:val="16"/>
              </w:rPr>
              <w:t>Utrzymanie maksymalnych stawek podatku od nieruchomości</w:t>
            </w:r>
          </w:p>
        </w:tc>
        <w:tc>
          <w:tcPr>
            <w:tcW w:w="1151" w:type="dxa"/>
            <w:vAlign w:val="center"/>
          </w:tcPr>
          <w:p w:rsidR="00906759" w:rsidRPr="00FE46FE" w:rsidRDefault="00906759" w:rsidP="00553A83">
            <w:pPr>
              <w:spacing w:after="0"/>
              <w:jc w:val="right"/>
              <w:rPr>
                <w:rFonts w:ascii="Arial" w:hAnsi="Arial" w:cs="Arial"/>
                <w:sz w:val="16"/>
                <w:szCs w:val="16"/>
              </w:rPr>
            </w:pPr>
            <w:r>
              <w:rPr>
                <w:rFonts w:ascii="Arial" w:hAnsi="Arial" w:cs="Arial"/>
                <w:sz w:val="16"/>
                <w:szCs w:val="16"/>
              </w:rPr>
              <w:t>3.134.000,00</w:t>
            </w:r>
          </w:p>
        </w:tc>
        <w:tc>
          <w:tcPr>
            <w:tcW w:w="1151" w:type="dxa"/>
            <w:vAlign w:val="center"/>
          </w:tcPr>
          <w:p w:rsidR="00906759" w:rsidRPr="00FE46FE" w:rsidRDefault="00906759" w:rsidP="00553A83">
            <w:pPr>
              <w:spacing w:after="0"/>
              <w:jc w:val="right"/>
              <w:rPr>
                <w:rFonts w:ascii="Arial" w:hAnsi="Arial" w:cs="Arial"/>
                <w:sz w:val="16"/>
                <w:szCs w:val="16"/>
              </w:rPr>
            </w:pPr>
            <w:r w:rsidRPr="00FE46FE">
              <w:rPr>
                <w:rFonts w:ascii="Arial" w:hAnsi="Arial" w:cs="Arial"/>
                <w:sz w:val="16"/>
                <w:szCs w:val="16"/>
              </w:rPr>
              <w:t>3.115.788,00</w:t>
            </w:r>
          </w:p>
        </w:tc>
        <w:tc>
          <w:tcPr>
            <w:tcW w:w="5014" w:type="dxa"/>
            <w:vAlign w:val="center"/>
          </w:tcPr>
          <w:p w:rsidR="00906759" w:rsidRPr="00FE46FE" w:rsidRDefault="00906759" w:rsidP="00B0797D">
            <w:pPr>
              <w:spacing w:after="0"/>
              <w:jc w:val="both"/>
              <w:rPr>
                <w:rFonts w:ascii="Arial" w:hAnsi="Arial" w:cs="Arial"/>
                <w:sz w:val="16"/>
                <w:szCs w:val="16"/>
              </w:rPr>
            </w:pPr>
            <w:r>
              <w:rPr>
                <w:rFonts w:ascii="Arial" w:hAnsi="Arial" w:cs="Arial"/>
                <w:sz w:val="16"/>
                <w:szCs w:val="16"/>
              </w:rPr>
              <w:t xml:space="preserve">Podatek został przyjęty na poziomie planu na 2018r. Rada Gminy podjęła uchwałę z maksymalnymi stawkami. Plan zostanie zaktualizowany po wymiarze podatku na 2019r. Szacowany wzrost podatku stanowi kwotę 74.136,92zł   </w:t>
            </w:r>
          </w:p>
        </w:tc>
      </w:tr>
      <w:tr w:rsidR="00906759" w:rsidRPr="00FE46FE" w:rsidTr="00B0797D">
        <w:trPr>
          <w:trHeight w:val="46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Utrzymanie maksymalnych stawek podatku rolnego i leśnego</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730</w:t>
            </w:r>
            <w:r w:rsidRPr="00FE46FE">
              <w:rPr>
                <w:rFonts w:ascii="Arial" w:hAnsi="Arial" w:cs="Arial"/>
                <w:sz w:val="16"/>
                <w:szCs w:val="16"/>
              </w:rPr>
              <w:t>.000,00</w:t>
            </w:r>
          </w:p>
          <w:p w:rsidR="00906759" w:rsidRPr="00FE46FE" w:rsidRDefault="00906759" w:rsidP="00EF0730">
            <w:pPr>
              <w:spacing w:after="0"/>
              <w:jc w:val="right"/>
              <w:rPr>
                <w:rFonts w:ascii="Arial" w:hAnsi="Arial" w:cs="Arial"/>
                <w:sz w:val="16"/>
                <w:szCs w:val="16"/>
              </w:rPr>
            </w:pPr>
            <w:r>
              <w:rPr>
                <w:rFonts w:ascii="Arial" w:hAnsi="Arial" w:cs="Arial"/>
                <w:sz w:val="16"/>
                <w:szCs w:val="16"/>
              </w:rPr>
              <w:t>234.275</w:t>
            </w:r>
            <w:r w:rsidRPr="00FE46FE">
              <w:rPr>
                <w:rFonts w:ascii="Arial" w:hAnsi="Arial" w:cs="Arial"/>
                <w:sz w:val="16"/>
                <w:szCs w:val="16"/>
              </w:rPr>
              <w:t>,00</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620.467</w:t>
            </w:r>
            <w:r w:rsidRPr="00FE46FE">
              <w:rPr>
                <w:rFonts w:ascii="Arial" w:hAnsi="Arial" w:cs="Arial"/>
                <w:sz w:val="16"/>
                <w:szCs w:val="16"/>
              </w:rPr>
              <w:t>,00</w:t>
            </w:r>
          </w:p>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224.373,00</w:t>
            </w:r>
          </w:p>
        </w:tc>
        <w:tc>
          <w:tcPr>
            <w:tcW w:w="5014" w:type="dxa"/>
            <w:vAlign w:val="center"/>
          </w:tcPr>
          <w:p w:rsidR="00906759" w:rsidRPr="00FE46FE" w:rsidRDefault="00906759" w:rsidP="00B0797D">
            <w:pPr>
              <w:spacing w:after="0"/>
              <w:jc w:val="both"/>
              <w:rPr>
                <w:rFonts w:ascii="Arial" w:hAnsi="Arial" w:cs="Arial"/>
                <w:sz w:val="16"/>
                <w:szCs w:val="16"/>
              </w:rPr>
            </w:pPr>
            <w:r>
              <w:rPr>
                <w:rFonts w:ascii="Arial" w:hAnsi="Arial" w:cs="Arial"/>
                <w:sz w:val="16"/>
                <w:szCs w:val="16"/>
              </w:rPr>
              <w:t xml:space="preserve">Podatek został przyjęty na poziomie planu na 2018r. Rada Gminy nie obniżyła średniej ceny skupu żyta oraz średniej ceny skupu drewna. Plan zostanie zaktualizowany po wymiarze podatku na 2019r. Szacowany wzrost podatku rolnego stanowi kwotę 3.966zł a leśnego 1.558zł. Duża różnica w podatku rolnym wynika z udzielonych ulg ustawowych z tytułu nabycia gruntów, które w 2019r. stanowią kwotę 137.053zł    </w:t>
            </w:r>
          </w:p>
        </w:tc>
      </w:tr>
      <w:tr w:rsidR="00906759" w:rsidRPr="00FE46FE"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Zamrożenie wysokości dopłat Gminy do ceny wody i ścieków</w:t>
            </w:r>
          </w:p>
        </w:tc>
        <w:tc>
          <w:tcPr>
            <w:tcW w:w="1151" w:type="dxa"/>
            <w:vAlign w:val="center"/>
          </w:tcPr>
          <w:p w:rsidR="00906759" w:rsidRPr="00FE46FE" w:rsidRDefault="00906759" w:rsidP="00E25974">
            <w:pPr>
              <w:spacing w:after="0"/>
              <w:jc w:val="right"/>
              <w:rPr>
                <w:rFonts w:ascii="Arial" w:hAnsi="Arial" w:cs="Arial"/>
                <w:sz w:val="16"/>
                <w:szCs w:val="16"/>
              </w:rPr>
            </w:pPr>
            <w:r w:rsidRPr="00FE46FE">
              <w:rPr>
                <w:rFonts w:ascii="Arial" w:hAnsi="Arial" w:cs="Arial"/>
                <w:sz w:val="16"/>
                <w:szCs w:val="16"/>
              </w:rPr>
              <w:t>1</w:t>
            </w:r>
            <w:r>
              <w:rPr>
                <w:rFonts w:ascii="Arial" w:hAnsi="Arial" w:cs="Arial"/>
                <w:sz w:val="16"/>
                <w:szCs w:val="16"/>
              </w:rPr>
              <w:t>.390</w:t>
            </w:r>
            <w:r w:rsidRPr="00FE46FE">
              <w:rPr>
                <w:rFonts w:ascii="Arial" w:hAnsi="Arial" w:cs="Arial"/>
                <w:sz w:val="16"/>
                <w:szCs w:val="16"/>
              </w:rPr>
              <w:t>.</w:t>
            </w:r>
            <w:r>
              <w:rPr>
                <w:rFonts w:ascii="Arial" w:hAnsi="Arial" w:cs="Arial"/>
                <w:sz w:val="16"/>
                <w:szCs w:val="16"/>
              </w:rPr>
              <w:t>000</w:t>
            </w:r>
            <w:r w:rsidRPr="00FE46FE">
              <w:rPr>
                <w:rFonts w:ascii="Arial" w:hAnsi="Arial" w:cs="Arial"/>
                <w:sz w:val="16"/>
                <w:szCs w:val="16"/>
              </w:rPr>
              <w:t>,00</w:t>
            </w:r>
          </w:p>
        </w:tc>
        <w:tc>
          <w:tcPr>
            <w:tcW w:w="1151" w:type="dxa"/>
            <w:vAlign w:val="center"/>
          </w:tcPr>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1.380.000,00</w:t>
            </w:r>
          </w:p>
        </w:tc>
        <w:tc>
          <w:tcPr>
            <w:tcW w:w="5014" w:type="dxa"/>
            <w:vAlign w:val="center"/>
          </w:tcPr>
          <w:p w:rsidR="00906759" w:rsidRPr="00FE46FE" w:rsidRDefault="00906759" w:rsidP="00EF0730">
            <w:pPr>
              <w:spacing w:after="0"/>
              <w:jc w:val="right"/>
              <w:rPr>
                <w:rFonts w:ascii="Arial" w:hAnsi="Arial" w:cs="Arial"/>
                <w:sz w:val="16"/>
                <w:szCs w:val="16"/>
              </w:rPr>
            </w:pPr>
          </w:p>
        </w:tc>
      </w:tr>
      <w:tr w:rsidR="00906759" w:rsidRPr="00FE46FE"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Reorganizacja struktury Urzędu Gminy</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1378.062,83</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1.378.062,83</w:t>
            </w:r>
          </w:p>
        </w:tc>
        <w:tc>
          <w:tcPr>
            <w:tcW w:w="5014" w:type="dxa"/>
            <w:vAlign w:val="center"/>
          </w:tcPr>
          <w:p w:rsidR="00906759" w:rsidRPr="00FE46FE" w:rsidRDefault="00906759" w:rsidP="00EF0730">
            <w:pPr>
              <w:spacing w:after="0"/>
              <w:jc w:val="right"/>
              <w:rPr>
                <w:rFonts w:ascii="Arial" w:hAnsi="Arial" w:cs="Arial"/>
                <w:sz w:val="16"/>
                <w:szCs w:val="16"/>
              </w:rPr>
            </w:pPr>
          </w:p>
        </w:tc>
      </w:tr>
      <w:tr w:rsidR="00906759" w:rsidRPr="00FE46FE"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Ograniczenie zatrudnienia pracowników robót publicznych i interwencyjnych</w:t>
            </w:r>
          </w:p>
        </w:tc>
        <w:tc>
          <w:tcPr>
            <w:tcW w:w="1151" w:type="dxa"/>
            <w:vAlign w:val="center"/>
          </w:tcPr>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0</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8.389,94</w:t>
            </w:r>
          </w:p>
        </w:tc>
        <w:tc>
          <w:tcPr>
            <w:tcW w:w="5014" w:type="dxa"/>
            <w:vAlign w:val="center"/>
          </w:tcPr>
          <w:p w:rsidR="00906759" w:rsidRPr="00FE46FE" w:rsidRDefault="00906759" w:rsidP="00ED0EAF">
            <w:pPr>
              <w:spacing w:after="0"/>
              <w:jc w:val="both"/>
              <w:rPr>
                <w:rFonts w:ascii="Arial" w:hAnsi="Arial" w:cs="Arial"/>
                <w:sz w:val="16"/>
                <w:szCs w:val="16"/>
              </w:rPr>
            </w:pPr>
            <w:r>
              <w:rPr>
                <w:rFonts w:ascii="Arial" w:hAnsi="Arial" w:cs="Arial"/>
                <w:sz w:val="16"/>
                <w:szCs w:val="16"/>
              </w:rPr>
              <w:t>Zobowiązania wynikające z  umów  na prace publiczne i interwencyjne zawartych w 2018r.</w:t>
            </w:r>
          </w:p>
        </w:tc>
      </w:tr>
      <w:tr w:rsidR="00906759" w:rsidRPr="00FE46FE" w:rsidTr="00B0797D">
        <w:trPr>
          <w:trHeight w:val="397"/>
        </w:trPr>
        <w:tc>
          <w:tcPr>
            <w:tcW w:w="6259" w:type="dxa"/>
            <w:vAlign w:val="center"/>
          </w:tcPr>
          <w:p w:rsidR="00906759" w:rsidRPr="00ED0EAF" w:rsidRDefault="00906759" w:rsidP="00EF0730">
            <w:pPr>
              <w:spacing w:after="0"/>
              <w:rPr>
                <w:rFonts w:ascii="Arial" w:hAnsi="Arial" w:cs="Arial"/>
                <w:sz w:val="16"/>
                <w:szCs w:val="16"/>
              </w:rPr>
            </w:pPr>
            <w:r w:rsidRPr="00ED0EAF">
              <w:rPr>
                <w:rFonts w:ascii="Arial" w:hAnsi="Arial" w:cs="Arial"/>
                <w:sz w:val="16"/>
                <w:szCs w:val="16"/>
              </w:rPr>
              <w:t>Ograniczenie kosztów administracyjnych w Urzędzie – usługi telekomunikacyjne i ryczałt</w:t>
            </w:r>
          </w:p>
        </w:tc>
        <w:tc>
          <w:tcPr>
            <w:tcW w:w="1151" w:type="dxa"/>
            <w:vAlign w:val="center"/>
          </w:tcPr>
          <w:p w:rsidR="00906759" w:rsidRPr="00ED0EAF" w:rsidRDefault="00906759" w:rsidP="00EF0730">
            <w:pPr>
              <w:spacing w:after="0"/>
              <w:jc w:val="right"/>
              <w:rPr>
                <w:rFonts w:ascii="Arial" w:hAnsi="Arial" w:cs="Arial"/>
                <w:sz w:val="16"/>
                <w:szCs w:val="16"/>
              </w:rPr>
            </w:pPr>
            <w:r w:rsidRPr="00ED0EAF">
              <w:rPr>
                <w:rFonts w:ascii="Arial" w:hAnsi="Arial" w:cs="Arial"/>
                <w:sz w:val="16"/>
                <w:szCs w:val="16"/>
              </w:rPr>
              <w:t>10.335,00</w:t>
            </w:r>
          </w:p>
        </w:tc>
        <w:tc>
          <w:tcPr>
            <w:tcW w:w="1151" w:type="dxa"/>
            <w:vAlign w:val="center"/>
          </w:tcPr>
          <w:p w:rsidR="00906759" w:rsidRPr="00ED0EAF" w:rsidRDefault="00906759" w:rsidP="00EF0730">
            <w:pPr>
              <w:spacing w:after="0"/>
              <w:jc w:val="right"/>
              <w:rPr>
                <w:rFonts w:ascii="Arial" w:hAnsi="Arial" w:cs="Arial"/>
                <w:sz w:val="16"/>
                <w:szCs w:val="16"/>
              </w:rPr>
            </w:pPr>
            <w:r w:rsidRPr="00ED0EAF">
              <w:rPr>
                <w:rFonts w:ascii="Arial" w:hAnsi="Arial" w:cs="Arial"/>
                <w:sz w:val="16"/>
                <w:szCs w:val="16"/>
              </w:rPr>
              <w:t>6.680,00</w:t>
            </w:r>
          </w:p>
        </w:tc>
        <w:tc>
          <w:tcPr>
            <w:tcW w:w="5014" w:type="dxa"/>
            <w:vAlign w:val="center"/>
          </w:tcPr>
          <w:p w:rsidR="00906759" w:rsidRPr="00FE46FE" w:rsidRDefault="00906759" w:rsidP="00ED0EAF">
            <w:pPr>
              <w:spacing w:after="0"/>
              <w:jc w:val="both"/>
              <w:rPr>
                <w:rFonts w:ascii="Arial" w:hAnsi="Arial" w:cs="Arial"/>
                <w:sz w:val="16"/>
                <w:szCs w:val="16"/>
              </w:rPr>
            </w:pPr>
            <w:r>
              <w:rPr>
                <w:rFonts w:ascii="Arial" w:hAnsi="Arial" w:cs="Arial"/>
                <w:sz w:val="16"/>
                <w:szCs w:val="16"/>
              </w:rPr>
              <w:t xml:space="preserve">1680,00 ryczałt , 5.000,00 telefony komórkowe </w:t>
            </w:r>
          </w:p>
        </w:tc>
      </w:tr>
      <w:tr w:rsidR="00906759" w:rsidRPr="00F37A40" w:rsidTr="00B0797D">
        <w:trPr>
          <w:trHeight w:val="397"/>
        </w:trPr>
        <w:tc>
          <w:tcPr>
            <w:tcW w:w="6259" w:type="dxa"/>
            <w:vAlign w:val="center"/>
          </w:tcPr>
          <w:p w:rsidR="00906759" w:rsidRPr="00DC7A2D" w:rsidRDefault="00906759" w:rsidP="00EF0730">
            <w:pPr>
              <w:spacing w:after="0"/>
              <w:rPr>
                <w:rFonts w:ascii="Arial" w:hAnsi="Arial" w:cs="Arial"/>
                <w:sz w:val="16"/>
                <w:szCs w:val="16"/>
              </w:rPr>
            </w:pPr>
            <w:r w:rsidRPr="00DC7A2D">
              <w:rPr>
                <w:rFonts w:ascii="Arial" w:hAnsi="Arial" w:cs="Arial"/>
                <w:sz w:val="16"/>
                <w:szCs w:val="16"/>
              </w:rPr>
              <w:t>Obniżenie wysokości dodatku motywacyjnego dla nauczycieli i dyrektorów szkół</w:t>
            </w:r>
          </w:p>
        </w:tc>
        <w:tc>
          <w:tcPr>
            <w:tcW w:w="1151" w:type="dxa"/>
            <w:vAlign w:val="center"/>
          </w:tcPr>
          <w:p w:rsidR="00906759" w:rsidRPr="00DC7A2D" w:rsidRDefault="00906759" w:rsidP="00EF0730">
            <w:pPr>
              <w:spacing w:after="0"/>
              <w:jc w:val="right"/>
              <w:rPr>
                <w:rFonts w:ascii="Arial" w:hAnsi="Arial" w:cs="Arial"/>
                <w:sz w:val="16"/>
                <w:szCs w:val="16"/>
              </w:rPr>
            </w:pPr>
            <w:r>
              <w:rPr>
                <w:rFonts w:ascii="Arial" w:hAnsi="Arial" w:cs="Arial"/>
                <w:sz w:val="16"/>
                <w:szCs w:val="16"/>
              </w:rPr>
              <w:t>50.000,00</w:t>
            </w:r>
          </w:p>
        </w:tc>
        <w:tc>
          <w:tcPr>
            <w:tcW w:w="1151" w:type="dxa"/>
            <w:vAlign w:val="center"/>
          </w:tcPr>
          <w:p w:rsidR="00906759" w:rsidRPr="00DC7A2D" w:rsidRDefault="00906759" w:rsidP="00EF0730">
            <w:pPr>
              <w:spacing w:after="0"/>
              <w:jc w:val="right"/>
              <w:rPr>
                <w:rFonts w:ascii="Arial" w:hAnsi="Arial" w:cs="Arial"/>
                <w:sz w:val="16"/>
                <w:szCs w:val="16"/>
              </w:rPr>
            </w:pPr>
            <w:r>
              <w:rPr>
                <w:rFonts w:ascii="Arial" w:hAnsi="Arial" w:cs="Arial"/>
                <w:sz w:val="16"/>
                <w:szCs w:val="16"/>
              </w:rPr>
              <w:t>37.149,36</w:t>
            </w:r>
          </w:p>
        </w:tc>
        <w:tc>
          <w:tcPr>
            <w:tcW w:w="5014" w:type="dxa"/>
            <w:vAlign w:val="center"/>
          </w:tcPr>
          <w:p w:rsidR="00906759" w:rsidRPr="00DC7A2D" w:rsidRDefault="00906759" w:rsidP="00ED0EAF">
            <w:pPr>
              <w:spacing w:after="0"/>
              <w:jc w:val="both"/>
              <w:rPr>
                <w:rFonts w:ascii="Arial" w:hAnsi="Arial" w:cs="Arial"/>
                <w:sz w:val="16"/>
                <w:szCs w:val="16"/>
              </w:rPr>
            </w:pPr>
          </w:p>
        </w:tc>
      </w:tr>
      <w:tr w:rsidR="00906759" w:rsidRPr="00F37A40" w:rsidTr="00B0797D">
        <w:trPr>
          <w:trHeight w:val="397"/>
        </w:trPr>
        <w:tc>
          <w:tcPr>
            <w:tcW w:w="6259" w:type="dxa"/>
            <w:vAlign w:val="center"/>
          </w:tcPr>
          <w:p w:rsidR="00906759" w:rsidRPr="00410A87" w:rsidRDefault="00906759" w:rsidP="00EF0730">
            <w:pPr>
              <w:spacing w:after="0"/>
              <w:rPr>
                <w:rFonts w:ascii="Arial" w:hAnsi="Arial" w:cs="Arial"/>
                <w:sz w:val="16"/>
                <w:szCs w:val="16"/>
              </w:rPr>
            </w:pPr>
            <w:r w:rsidRPr="00410A87">
              <w:rPr>
                <w:rFonts w:ascii="Arial" w:hAnsi="Arial" w:cs="Arial"/>
                <w:sz w:val="16"/>
                <w:szCs w:val="16"/>
              </w:rPr>
              <w:t>Zmniejszenie i zamrożenie dotacji podmiotowej dla samorządowej instytucji kultury</w:t>
            </w:r>
          </w:p>
        </w:tc>
        <w:tc>
          <w:tcPr>
            <w:tcW w:w="1151" w:type="dxa"/>
            <w:vAlign w:val="center"/>
          </w:tcPr>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390.000,00</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390.000,00</w:t>
            </w:r>
          </w:p>
        </w:tc>
        <w:tc>
          <w:tcPr>
            <w:tcW w:w="5014" w:type="dxa"/>
            <w:vAlign w:val="center"/>
          </w:tcPr>
          <w:p w:rsidR="00906759" w:rsidRPr="00FE46FE" w:rsidRDefault="00906759" w:rsidP="00ED0EAF">
            <w:pPr>
              <w:spacing w:after="0"/>
              <w:jc w:val="both"/>
              <w:rPr>
                <w:rFonts w:ascii="Arial" w:hAnsi="Arial" w:cs="Arial"/>
                <w:sz w:val="16"/>
                <w:szCs w:val="16"/>
              </w:rPr>
            </w:pPr>
          </w:p>
        </w:tc>
      </w:tr>
      <w:tr w:rsidR="00906759" w:rsidRPr="00F37A40"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Zmniejszenie i zamrożenie wysokości środków przekazywanych dla organizacji pozarządowych</w:t>
            </w:r>
          </w:p>
        </w:tc>
        <w:tc>
          <w:tcPr>
            <w:tcW w:w="1151" w:type="dxa"/>
            <w:vAlign w:val="center"/>
          </w:tcPr>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40.000,00</w:t>
            </w:r>
          </w:p>
        </w:tc>
        <w:tc>
          <w:tcPr>
            <w:tcW w:w="1151" w:type="dxa"/>
            <w:vAlign w:val="center"/>
          </w:tcPr>
          <w:p w:rsidR="00906759" w:rsidRPr="00FE46FE" w:rsidRDefault="00906759" w:rsidP="00EF0730">
            <w:pPr>
              <w:spacing w:after="0"/>
              <w:jc w:val="right"/>
              <w:rPr>
                <w:rFonts w:ascii="Arial" w:hAnsi="Arial" w:cs="Arial"/>
                <w:sz w:val="16"/>
                <w:szCs w:val="16"/>
              </w:rPr>
            </w:pPr>
            <w:r w:rsidRPr="00FE46FE">
              <w:rPr>
                <w:rFonts w:ascii="Arial" w:hAnsi="Arial" w:cs="Arial"/>
                <w:sz w:val="16"/>
                <w:szCs w:val="16"/>
              </w:rPr>
              <w:t>40.000,00</w:t>
            </w:r>
          </w:p>
        </w:tc>
        <w:tc>
          <w:tcPr>
            <w:tcW w:w="5014" w:type="dxa"/>
            <w:vAlign w:val="center"/>
          </w:tcPr>
          <w:p w:rsidR="00906759" w:rsidRPr="00FE46FE" w:rsidRDefault="00906759" w:rsidP="00ED0EAF">
            <w:pPr>
              <w:spacing w:after="0"/>
              <w:jc w:val="both"/>
              <w:rPr>
                <w:rFonts w:ascii="Arial" w:hAnsi="Arial" w:cs="Arial"/>
                <w:sz w:val="16"/>
                <w:szCs w:val="16"/>
              </w:rPr>
            </w:pPr>
          </w:p>
        </w:tc>
      </w:tr>
      <w:tr w:rsidR="00906759" w:rsidRPr="00F37A40"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Ograniczenie działalności inwestycyjnej</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352.567,00</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349.666,84</w:t>
            </w:r>
          </w:p>
        </w:tc>
        <w:tc>
          <w:tcPr>
            <w:tcW w:w="5014" w:type="dxa"/>
            <w:vAlign w:val="center"/>
          </w:tcPr>
          <w:p w:rsidR="00906759" w:rsidRPr="00FE46FE" w:rsidRDefault="00906759" w:rsidP="00ED0EAF">
            <w:pPr>
              <w:spacing w:after="0"/>
              <w:jc w:val="both"/>
              <w:rPr>
                <w:rFonts w:ascii="Arial" w:hAnsi="Arial" w:cs="Arial"/>
                <w:sz w:val="16"/>
                <w:szCs w:val="16"/>
              </w:rPr>
            </w:pPr>
          </w:p>
        </w:tc>
      </w:tr>
      <w:tr w:rsidR="00906759" w:rsidRPr="00F37A40"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 xml:space="preserve">Ograniczenie wydatków na zakup usług zewnętrznych </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895.994,00</w:t>
            </w:r>
          </w:p>
        </w:tc>
        <w:tc>
          <w:tcPr>
            <w:tcW w:w="1151" w:type="dxa"/>
            <w:vAlign w:val="center"/>
          </w:tcPr>
          <w:p w:rsidR="00906759" w:rsidRPr="00F12C6B" w:rsidRDefault="00906759" w:rsidP="00EF0730">
            <w:pPr>
              <w:spacing w:after="0"/>
              <w:jc w:val="right"/>
              <w:rPr>
                <w:rFonts w:ascii="Arial" w:hAnsi="Arial" w:cs="Arial"/>
                <w:sz w:val="16"/>
                <w:szCs w:val="16"/>
              </w:rPr>
            </w:pPr>
            <w:r w:rsidRPr="00F12C6B">
              <w:rPr>
                <w:rFonts w:ascii="Arial" w:hAnsi="Arial" w:cs="Arial"/>
                <w:sz w:val="16"/>
                <w:szCs w:val="16"/>
              </w:rPr>
              <w:t>893.155,70</w:t>
            </w:r>
          </w:p>
        </w:tc>
        <w:tc>
          <w:tcPr>
            <w:tcW w:w="5014" w:type="dxa"/>
            <w:vAlign w:val="center"/>
          </w:tcPr>
          <w:p w:rsidR="00906759" w:rsidRPr="00FE46FE" w:rsidRDefault="00906759" w:rsidP="00ED0EAF">
            <w:pPr>
              <w:spacing w:after="0"/>
              <w:jc w:val="both"/>
              <w:rPr>
                <w:rFonts w:ascii="Arial" w:hAnsi="Arial" w:cs="Arial"/>
                <w:sz w:val="16"/>
                <w:szCs w:val="16"/>
              </w:rPr>
            </w:pPr>
          </w:p>
        </w:tc>
      </w:tr>
      <w:tr w:rsidR="00906759" w:rsidRPr="00F37A40" w:rsidTr="00B0797D">
        <w:trPr>
          <w:trHeight w:val="397"/>
        </w:trPr>
        <w:tc>
          <w:tcPr>
            <w:tcW w:w="6259" w:type="dxa"/>
            <w:vAlign w:val="center"/>
          </w:tcPr>
          <w:p w:rsidR="00906759" w:rsidRPr="00FE46FE" w:rsidRDefault="00906759" w:rsidP="00EF0730">
            <w:pPr>
              <w:spacing w:after="0"/>
              <w:rPr>
                <w:rFonts w:ascii="Arial" w:hAnsi="Arial" w:cs="Arial"/>
                <w:sz w:val="16"/>
                <w:szCs w:val="16"/>
              </w:rPr>
            </w:pPr>
            <w:r w:rsidRPr="00FE46FE">
              <w:rPr>
                <w:rFonts w:ascii="Arial" w:hAnsi="Arial" w:cs="Arial"/>
                <w:sz w:val="16"/>
                <w:szCs w:val="16"/>
              </w:rPr>
              <w:t xml:space="preserve">Zmniejszenie wydatków na zakup materiałów i wyposażenia </w:t>
            </w:r>
          </w:p>
        </w:tc>
        <w:tc>
          <w:tcPr>
            <w:tcW w:w="1151" w:type="dxa"/>
            <w:vAlign w:val="center"/>
          </w:tcPr>
          <w:p w:rsidR="00906759" w:rsidRPr="00FE46FE" w:rsidRDefault="00906759" w:rsidP="00EF0730">
            <w:pPr>
              <w:spacing w:after="0"/>
              <w:jc w:val="right"/>
              <w:rPr>
                <w:rFonts w:ascii="Arial" w:hAnsi="Arial" w:cs="Arial"/>
                <w:sz w:val="16"/>
                <w:szCs w:val="16"/>
              </w:rPr>
            </w:pPr>
            <w:r>
              <w:rPr>
                <w:rFonts w:ascii="Arial" w:hAnsi="Arial" w:cs="Arial"/>
                <w:sz w:val="16"/>
                <w:szCs w:val="16"/>
              </w:rPr>
              <w:t>344.255,00</w:t>
            </w:r>
          </w:p>
        </w:tc>
        <w:tc>
          <w:tcPr>
            <w:tcW w:w="1151" w:type="dxa"/>
            <w:vAlign w:val="center"/>
          </w:tcPr>
          <w:p w:rsidR="00906759" w:rsidRPr="00F12C6B" w:rsidRDefault="00906759" w:rsidP="00EF0730">
            <w:pPr>
              <w:spacing w:after="0"/>
              <w:jc w:val="right"/>
              <w:rPr>
                <w:rFonts w:ascii="Arial" w:hAnsi="Arial" w:cs="Arial"/>
                <w:sz w:val="16"/>
                <w:szCs w:val="16"/>
              </w:rPr>
            </w:pPr>
            <w:r w:rsidRPr="00F12C6B">
              <w:rPr>
                <w:rFonts w:ascii="Arial" w:hAnsi="Arial" w:cs="Arial"/>
                <w:sz w:val="16"/>
                <w:szCs w:val="16"/>
              </w:rPr>
              <w:t>400.824,74</w:t>
            </w:r>
          </w:p>
        </w:tc>
        <w:tc>
          <w:tcPr>
            <w:tcW w:w="5014" w:type="dxa"/>
            <w:vAlign w:val="center"/>
          </w:tcPr>
          <w:p w:rsidR="00906759" w:rsidRPr="00FE46FE" w:rsidRDefault="00906759" w:rsidP="00ED0EAF">
            <w:pPr>
              <w:spacing w:after="0"/>
              <w:jc w:val="both"/>
              <w:rPr>
                <w:rFonts w:ascii="Arial" w:hAnsi="Arial" w:cs="Arial"/>
                <w:sz w:val="16"/>
                <w:szCs w:val="16"/>
              </w:rPr>
            </w:pPr>
            <w:r>
              <w:rPr>
                <w:rFonts w:ascii="Arial" w:hAnsi="Arial" w:cs="Arial"/>
                <w:sz w:val="16"/>
                <w:szCs w:val="16"/>
              </w:rPr>
              <w:t>Zaplanowana kwota w projekcie budżetu jest wyższa od PPN ze względu na wzrost kosztów zakupu miału oraz kosztów dowozu dzieci do szkoły – zakup paliwa</w:t>
            </w:r>
          </w:p>
        </w:tc>
      </w:tr>
    </w:tbl>
    <w:p w:rsidR="00906759" w:rsidRDefault="00906759"/>
    <w:sectPr w:rsidR="00906759" w:rsidSect="00B0797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0730"/>
    <w:rsid w:val="00110B28"/>
    <w:rsid w:val="003D45DD"/>
    <w:rsid w:val="00410A87"/>
    <w:rsid w:val="00443490"/>
    <w:rsid w:val="00553A83"/>
    <w:rsid w:val="005A71E7"/>
    <w:rsid w:val="00782562"/>
    <w:rsid w:val="00906759"/>
    <w:rsid w:val="00B0797D"/>
    <w:rsid w:val="00B11B58"/>
    <w:rsid w:val="00C906EC"/>
    <w:rsid w:val="00D332A3"/>
    <w:rsid w:val="00D428C5"/>
    <w:rsid w:val="00DC7A2D"/>
    <w:rsid w:val="00E25974"/>
    <w:rsid w:val="00E839AF"/>
    <w:rsid w:val="00ED0EAF"/>
    <w:rsid w:val="00EF0730"/>
    <w:rsid w:val="00F12C6B"/>
    <w:rsid w:val="00F20026"/>
    <w:rsid w:val="00F37A40"/>
    <w:rsid w:val="00FA67C0"/>
    <w:rsid w:val="00FE46F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730"/>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59351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314</Words>
  <Characters>1884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Porównanie założeń z projektu budżetu Gminy Grzmiąca na 2019 rok z zaplanowanymi przedsięwzięciami naprawczymi z programu postępowania naprawczego</dc:title>
  <dc:subject/>
  <dc:creator>bgolczyk</dc:creator>
  <cp:keywords/>
  <dc:description/>
  <cp:lastModifiedBy>Basia</cp:lastModifiedBy>
  <cp:revision>2</cp:revision>
  <dcterms:created xsi:type="dcterms:W3CDTF">2018-11-08T14:22:00Z</dcterms:created>
  <dcterms:modified xsi:type="dcterms:W3CDTF">2018-11-08T14:22:00Z</dcterms:modified>
</cp:coreProperties>
</file>